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EB" w:rsidRPr="008F3897" w:rsidRDefault="00E757EB" w:rsidP="00E757EB">
      <w:pPr>
        <w:jc w:val="both"/>
        <w:rPr>
          <w:rFonts w:ascii="Verdana" w:hAnsi="Verdana"/>
          <w:sz w:val="22"/>
          <w:szCs w:val="22"/>
        </w:rPr>
      </w:pPr>
      <w:r w:rsidRPr="008F3897">
        <w:rPr>
          <w:rFonts w:ascii="Verdana" w:hAnsi="Verdana"/>
          <w:sz w:val="22"/>
          <w:szCs w:val="22"/>
        </w:rPr>
        <w:t xml:space="preserve">Las leyes se hicieron para cumplirlas; la Constitución Política de los Estados Unidos Mexicanos es la Carta Magna que manifiesta claramente los derechos y obligaciones de todo mexicano. Tristemente y de manera constante no se cumple, e incluso es violada por servidores </w:t>
      </w:r>
      <w:commentRangeStart w:id="0"/>
      <w:r w:rsidRPr="008F3897">
        <w:rPr>
          <w:rFonts w:ascii="Verdana" w:hAnsi="Verdana"/>
          <w:sz w:val="22"/>
          <w:szCs w:val="22"/>
        </w:rPr>
        <w:t xml:space="preserve">públicos sin importar el nivel jerárquico, así como de cualquier mexicano. </w:t>
      </w:r>
      <w:commentRangeEnd w:id="0"/>
      <w:r w:rsidRPr="008F3897">
        <w:rPr>
          <w:rFonts w:ascii="Verdana" w:hAnsi="Verdana"/>
          <w:sz w:val="22"/>
          <w:szCs w:val="22"/>
          <w:lang w:val="es-ES"/>
        </w:rPr>
        <w:commentReference w:id="0"/>
      </w:r>
    </w:p>
    <w:p w:rsidR="00E757EB" w:rsidRPr="008F3897" w:rsidRDefault="00E757EB" w:rsidP="00E757EB">
      <w:pPr>
        <w:jc w:val="both"/>
        <w:rPr>
          <w:rFonts w:ascii="Verdana" w:hAnsi="Verdana"/>
          <w:sz w:val="22"/>
          <w:szCs w:val="22"/>
        </w:rPr>
      </w:pPr>
    </w:p>
    <w:p w:rsidR="00E757EB" w:rsidRPr="008F3897" w:rsidRDefault="00E757EB" w:rsidP="00E757EB">
      <w:pPr>
        <w:jc w:val="both"/>
        <w:rPr>
          <w:rFonts w:ascii="Verdana" w:hAnsi="Verdana"/>
          <w:sz w:val="22"/>
          <w:szCs w:val="22"/>
        </w:rPr>
      </w:pPr>
      <w:commentRangeStart w:id="1"/>
      <w:r w:rsidRPr="008F3897">
        <w:rPr>
          <w:rFonts w:ascii="Verdana" w:hAnsi="Verdana"/>
          <w:sz w:val="22"/>
          <w:szCs w:val="22"/>
        </w:rPr>
        <w:t>Le pedimos revise el siguiente caso.</w:t>
      </w:r>
      <w:commentRangeEnd w:id="1"/>
      <w:r w:rsidRPr="008F3897">
        <w:rPr>
          <w:rFonts w:ascii="Verdana" w:hAnsi="Verdana"/>
          <w:sz w:val="22"/>
          <w:szCs w:val="22"/>
          <w:lang w:val="es-ES"/>
        </w:rPr>
        <w:commentReference w:id="1"/>
      </w:r>
    </w:p>
    <w:p w:rsidR="00E757EB" w:rsidRPr="008F3897" w:rsidRDefault="00E757EB" w:rsidP="00E757EB">
      <w:pPr>
        <w:jc w:val="both"/>
        <w:rPr>
          <w:rFonts w:ascii="Verdana" w:hAnsi="Verdana"/>
          <w:sz w:val="22"/>
          <w:szCs w:val="22"/>
        </w:rPr>
      </w:pPr>
    </w:p>
    <w:p w:rsidR="00E757EB" w:rsidRPr="008F3897" w:rsidRDefault="00E757EB" w:rsidP="00E757EB">
      <w:pPr>
        <w:jc w:val="both"/>
        <w:rPr>
          <w:rFonts w:ascii="Verdana" w:hAnsi="Verdana"/>
          <w:sz w:val="22"/>
          <w:szCs w:val="22"/>
        </w:rPr>
      </w:pPr>
      <w:r w:rsidRPr="008F3897">
        <w:rPr>
          <w:rFonts w:ascii="Verdana" w:hAnsi="Verdana"/>
          <w:sz w:val="22"/>
          <w:szCs w:val="22"/>
        </w:rPr>
        <w:t xml:space="preserve">Revise el caso y elija el fragmento de las obligaciones señaladas por </w:t>
      </w:r>
      <w:commentRangeStart w:id="2"/>
      <w:r w:rsidRPr="008F3897">
        <w:rPr>
          <w:rFonts w:ascii="Verdana" w:hAnsi="Verdana"/>
          <w:sz w:val="22"/>
          <w:szCs w:val="22"/>
        </w:rPr>
        <w:t>el</w:t>
      </w:r>
      <w:commentRangeEnd w:id="2"/>
      <w:r w:rsidRPr="008F3897">
        <w:rPr>
          <w:rFonts w:ascii="Verdana" w:hAnsi="Verdana"/>
          <w:sz w:val="22"/>
          <w:szCs w:val="22"/>
          <w:lang w:val="es-ES"/>
        </w:rPr>
        <w:commentReference w:id="2"/>
      </w:r>
      <w:r w:rsidRPr="008F3897">
        <w:rPr>
          <w:rFonts w:ascii="Verdana" w:hAnsi="Verdana"/>
          <w:sz w:val="22"/>
          <w:szCs w:val="22"/>
        </w:rPr>
        <w:t xml:space="preserve"> </w:t>
      </w:r>
      <w:r w:rsidRPr="008F3897">
        <w:rPr>
          <w:rFonts w:ascii="Verdana" w:hAnsi="Verdana"/>
          <w:b/>
          <w:sz w:val="22"/>
          <w:szCs w:val="22"/>
        </w:rPr>
        <w:t xml:space="preserve">Artículo 8º de la Ley Federal de Responsabilidades Administrativas de los Servidores Públicos </w:t>
      </w:r>
      <w:r w:rsidRPr="008F3897">
        <w:rPr>
          <w:rFonts w:ascii="Verdana" w:hAnsi="Verdana"/>
          <w:sz w:val="22"/>
          <w:szCs w:val="22"/>
        </w:rPr>
        <w:t>que no se está cumpliendo.</w:t>
      </w:r>
      <w:r w:rsidRPr="008F3897">
        <w:rPr>
          <w:rFonts w:ascii="Verdana" w:hAnsi="Verdana"/>
          <w:b/>
          <w:sz w:val="22"/>
          <w:szCs w:val="22"/>
        </w:rPr>
        <w:t xml:space="preserve"> </w:t>
      </w:r>
      <w:r w:rsidRPr="008F3897">
        <w:rPr>
          <w:rFonts w:ascii="Verdana" w:hAnsi="Verdana"/>
          <w:sz w:val="22"/>
          <w:szCs w:val="22"/>
        </w:rPr>
        <w:t xml:space="preserve"> </w:t>
      </w:r>
    </w:p>
    <w:p w:rsidR="00E757EB" w:rsidRPr="001C5D47" w:rsidRDefault="00E757EB" w:rsidP="00E757EB">
      <w:pPr>
        <w:jc w:val="both"/>
        <w:rPr>
          <w:rFonts w:ascii="Verdana" w:hAnsi="Verdana"/>
          <w:sz w:val="22"/>
          <w:szCs w:val="22"/>
        </w:rPr>
      </w:pPr>
    </w:p>
    <w:p w:rsidR="00E757EB" w:rsidRPr="001D6788" w:rsidRDefault="00E757EB" w:rsidP="00E757EB">
      <w:pPr>
        <w:ind w:firstLine="34"/>
        <w:jc w:val="both"/>
        <w:rPr>
          <w:rFonts w:ascii="Verdana" w:hAnsi="Verdana"/>
          <w:b/>
          <w:sz w:val="22"/>
          <w:szCs w:val="22"/>
        </w:rPr>
      </w:pPr>
      <w:r w:rsidRPr="001D6788">
        <w:rPr>
          <w:rFonts w:ascii="Verdana" w:hAnsi="Verdana"/>
          <w:b/>
          <w:sz w:val="22"/>
          <w:szCs w:val="22"/>
        </w:rPr>
        <w:t>Caso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E757EB" w:rsidRPr="001D6788" w:rsidRDefault="00E757EB" w:rsidP="00E757EB">
      <w:pPr>
        <w:ind w:firstLine="34"/>
        <w:jc w:val="both"/>
        <w:rPr>
          <w:rFonts w:ascii="Verdana" w:hAnsi="Verdana"/>
          <w:sz w:val="22"/>
          <w:szCs w:val="22"/>
        </w:rPr>
      </w:pPr>
    </w:p>
    <w:p w:rsidR="00E757EB" w:rsidRPr="001C5D47" w:rsidRDefault="00E757EB" w:rsidP="00E757EB">
      <w:pPr>
        <w:ind w:firstLine="34"/>
        <w:jc w:val="both"/>
        <w:rPr>
          <w:rFonts w:ascii="Verdana" w:hAnsi="Verdana" w:cs="Times New Roman"/>
          <w:sz w:val="22"/>
          <w:szCs w:val="22"/>
        </w:rPr>
      </w:pPr>
      <w:r w:rsidRPr="001D6788">
        <w:rPr>
          <w:rFonts w:ascii="Verdana" w:hAnsi="Verdana"/>
          <w:sz w:val="22"/>
          <w:szCs w:val="22"/>
          <w:shd w:val="clear" w:color="auto" w:fill="FFFFFF"/>
        </w:rPr>
        <w:t>Mirna García López</w:t>
      </w:r>
      <w:r>
        <w:rPr>
          <w:rFonts w:ascii="Verdana" w:hAnsi="Verdana"/>
          <w:sz w:val="22"/>
          <w:szCs w:val="22"/>
          <w:shd w:val="clear" w:color="auto" w:fill="FFFFFF"/>
        </w:rPr>
        <w:t xml:space="preserve"> </w:t>
      </w:r>
      <w:commentRangeStart w:id="3"/>
      <w:r>
        <w:rPr>
          <w:rFonts w:ascii="Verdana" w:hAnsi="Verdana"/>
          <w:sz w:val="22"/>
          <w:szCs w:val="22"/>
          <w:shd w:val="clear" w:color="auto" w:fill="FFFFFF"/>
        </w:rPr>
        <w:t>(</w:t>
      </w:r>
      <w:r w:rsidRPr="004B556F">
        <w:rPr>
          <w:rFonts w:ascii="Verdana" w:hAnsi="Verdana"/>
          <w:sz w:val="22"/>
          <w:szCs w:val="22"/>
          <w:highlight w:val="yellow"/>
          <w:shd w:val="clear" w:color="auto" w:fill="FFFFFF"/>
        </w:rPr>
        <w:t xml:space="preserve">crear hipervínculo </w:t>
      </w:r>
      <w:r w:rsidRPr="007E17DC">
        <w:rPr>
          <w:rFonts w:ascii="Verdana" w:hAnsi="Verdana"/>
          <w:sz w:val="22"/>
          <w:szCs w:val="22"/>
          <w:highlight w:val="yellow"/>
          <w:shd w:val="clear" w:color="auto" w:fill="FFFFFF"/>
        </w:rPr>
        <w:t xml:space="preserve">a: </w:t>
      </w:r>
      <w:hyperlink r:id="rId7" w:history="1">
        <w:r w:rsidRPr="007E17DC">
          <w:rPr>
            <w:rStyle w:val="Hipervnculo"/>
            <w:rFonts w:ascii="Verdana" w:hAnsi="Verdana"/>
            <w:sz w:val="22"/>
            <w:szCs w:val="22"/>
            <w:highlight w:val="yellow"/>
            <w:shd w:val="clear" w:color="auto" w:fill="FFFFFF"/>
          </w:rPr>
          <w:t>http://laprensa.mx/notas.asp?id=300248</w:t>
        </w:r>
      </w:hyperlink>
      <w:commentRangeEnd w:id="3"/>
      <w:r>
        <w:rPr>
          <w:rStyle w:val="Refdecomentario"/>
          <w:rFonts w:ascii="Times New Roman" w:hAnsi="Times New Roman" w:cs="Times New Roman"/>
          <w:bCs w:val="0"/>
          <w:lang w:val="es-ES"/>
        </w:rPr>
        <w:commentReference w:id="3"/>
      </w:r>
      <w:r>
        <w:rPr>
          <w:rFonts w:ascii="Verdana" w:hAnsi="Verdana"/>
          <w:sz w:val="22"/>
          <w:szCs w:val="22"/>
        </w:rPr>
        <w:t>)</w:t>
      </w:r>
      <w:r w:rsidRPr="001D6788">
        <w:rPr>
          <w:rFonts w:ascii="Verdana" w:hAnsi="Verdana"/>
          <w:sz w:val="22"/>
          <w:szCs w:val="22"/>
          <w:shd w:val="clear" w:color="auto" w:fill="FFFFFF"/>
        </w:rPr>
        <w:t>, secretaria general de la Sección 15 del SNTE entre 2008 y 2011, es acusada, entre otros delitos, del robo de casi 124 millones de pesos.</w:t>
      </w:r>
      <w:r>
        <w:rPr>
          <w:rFonts w:ascii="Verdana" w:hAnsi="Verdana"/>
          <w:sz w:val="22"/>
          <w:szCs w:val="22"/>
          <w:shd w:val="clear" w:color="auto" w:fill="FFFFFF"/>
        </w:rPr>
        <w:t xml:space="preserve"> </w:t>
      </w:r>
      <w:r w:rsidRPr="001D6788">
        <w:rPr>
          <w:rFonts w:ascii="Verdana" w:hAnsi="Verdana"/>
          <w:sz w:val="22"/>
          <w:szCs w:val="22"/>
          <w:shd w:val="clear" w:color="auto" w:fill="FFFFFF"/>
        </w:rPr>
        <w:t>La denuncia, según la causa penal 12/DAP/R/III/1895/2014, es por fraude, enriquecimiento irregular, desvío de cuotas sindicales y operaciones con recursos de procedencia ilícita.</w:t>
      </w:r>
      <w:r w:rsidRPr="001D6788">
        <w:rPr>
          <w:rFonts w:ascii="Verdana" w:hAnsi="Verdana"/>
          <w:sz w:val="22"/>
          <w:szCs w:val="22"/>
        </w:rPr>
        <w:br/>
      </w:r>
      <w:r w:rsidRPr="001D6788">
        <w:rPr>
          <w:rFonts w:ascii="Verdana" w:hAnsi="Verdana"/>
          <w:sz w:val="22"/>
          <w:szCs w:val="22"/>
          <w:shd w:val="clear" w:color="auto" w:fill="FFFFFF"/>
        </w:rPr>
        <w:t>Según la Procuraduría de Justicia de Hidalgo, la orden de aprehensión se giró luego de que el apoderado legal del SNTE a nivel nacional denunció la expedición de 109 cheques firmados por la ex dirigente después de que ya había concluido su gestión</w:t>
      </w:r>
      <w:r>
        <w:rPr>
          <w:rFonts w:ascii="Verdana" w:hAnsi="Verdana"/>
          <w:sz w:val="22"/>
          <w:szCs w:val="22"/>
          <w:shd w:val="clear" w:color="auto" w:fill="FFFFFF"/>
        </w:rPr>
        <w:t xml:space="preserve"> (Paniagua, 2014).</w:t>
      </w:r>
      <w:r w:rsidRPr="001D6788">
        <w:rPr>
          <w:rFonts w:ascii="Verdana" w:hAnsi="Verdana"/>
          <w:sz w:val="22"/>
          <w:szCs w:val="22"/>
          <w:shd w:val="clear" w:color="auto" w:fill="FFFFFF"/>
        </w:rPr>
        <w:t xml:space="preserve"> </w:t>
      </w:r>
    </w:p>
    <w:p w:rsidR="00E757EB" w:rsidRDefault="00E757EB" w:rsidP="00E757EB">
      <w:pPr>
        <w:jc w:val="both"/>
        <w:rPr>
          <w:rFonts w:ascii="Verdana" w:hAnsi="Verdana"/>
          <w:sz w:val="22"/>
          <w:szCs w:val="22"/>
        </w:rPr>
      </w:pPr>
    </w:p>
    <w:p w:rsidR="00E757EB" w:rsidRDefault="00E757EB" w:rsidP="00E757EB">
      <w:pPr>
        <w:jc w:val="both"/>
        <w:rPr>
          <w:rFonts w:ascii="Verdana" w:hAnsi="Verdan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4"/>
        <w:gridCol w:w="3119"/>
      </w:tblGrid>
      <w:tr w:rsidR="00E757EB" w:rsidRPr="00FC5A48" w:rsidTr="006B5D5C">
        <w:trPr>
          <w:jc w:val="center"/>
        </w:trPr>
        <w:tc>
          <w:tcPr>
            <w:tcW w:w="5134" w:type="dxa"/>
            <w:shd w:val="clear" w:color="auto" w:fill="auto"/>
          </w:tcPr>
          <w:p w:rsidR="00E757EB" w:rsidRPr="00FC5A48" w:rsidRDefault="00E757EB" w:rsidP="006B5D5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C5A48">
              <w:rPr>
                <w:rFonts w:ascii="Verdana" w:hAnsi="Verdana"/>
                <w:b/>
                <w:sz w:val="22"/>
                <w:szCs w:val="22"/>
              </w:rPr>
              <w:t>Fracción</w:t>
            </w:r>
          </w:p>
        </w:tc>
        <w:tc>
          <w:tcPr>
            <w:tcW w:w="3119" w:type="dxa"/>
            <w:shd w:val="clear" w:color="auto" w:fill="auto"/>
          </w:tcPr>
          <w:p w:rsidR="00E757EB" w:rsidRPr="00FC5A48" w:rsidRDefault="00E757EB" w:rsidP="006B5D5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C5A48">
              <w:rPr>
                <w:rFonts w:ascii="Verdana" w:hAnsi="Verdana"/>
                <w:b/>
                <w:sz w:val="22"/>
                <w:szCs w:val="22"/>
              </w:rPr>
              <w:t>Respuestas</w:t>
            </w:r>
          </w:p>
        </w:tc>
      </w:tr>
      <w:tr w:rsidR="00E757EB" w:rsidRPr="00FC5A48" w:rsidTr="006B5D5C">
        <w:trPr>
          <w:jc w:val="center"/>
        </w:trPr>
        <w:tc>
          <w:tcPr>
            <w:tcW w:w="5134" w:type="dxa"/>
            <w:shd w:val="clear" w:color="auto" w:fill="auto"/>
          </w:tcPr>
          <w:p w:rsidR="00E757EB" w:rsidRDefault="00E757EB" w:rsidP="006B5D5C">
            <w:pPr>
              <w:jc w:val="both"/>
            </w:pPr>
            <w:r>
              <w:t>III. Utilizar los recursos que tenga asignados y las facultades que le hayan sido atribuidas para el desempeño de su empleo, cargo o comisión, exclusivamente para los fines a que están afectos;</w:t>
            </w:r>
          </w:p>
          <w:p w:rsidR="00E757EB" w:rsidRPr="00FC5A48" w:rsidRDefault="00E757EB" w:rsidP="006B5D5C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E757EB" w:rsidRPr="00FC5A48" w:rsidRDefault="00E757EB" w:rsidP="006B5D5C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FC5A48">
              <w:rPr>
                <w:rFonts w:ascii="Verdana" w:hAnsi="Verdana"/>
                <w:sz w:val="22"/>
                <w:szCs w:val="22"/>
              </w:rPr>
              <w:t>Incorrecta</w:t>
            </w:r>
          </w:p>
        </w:tc>
      </w:tr>
      <w:tr w:rsidR="00E757EB" w:rsidRPr="00FC5A48" w:rsidTr="006B5D5C">
        <w:trPr>
          <w:jc w:val="center"/>
        </w:trPr>
        <w:tc>
          <w:tcPr>
            <w:tcW w:w="5134" w:type="dxa"/>
            <w:shd w:val="clear" w:color="auto" w:fill="auto"/>
          </w:tcPr>
          <w:p w:rsidR="00E757EB" w:rsidRDefault="00E757EB" w:rsidP="006B5D5C">
            <w:pPr>
              <w:ind w:firstLine="34"/>
              <w:jc w:val="both"/>
              <w:rPr>
                <w:rFonts w:ascii="Verdana" w:hAnsi="Verdana"/>
                <w:sz w:val="22"/>
                <w:szCs w:val="22"/>
              </w:rPr>
            </w:pPr>
            <w:r w:rsidRPr="00FC5A48">
              <w:rPr>
                <w:rFonts w:ascii="Verdana" w:hAnsi="Verdana"/>
                <w:sz w:val="22"/>
                <w:szCs w:val="22"/>
              </w:rPr>
              <w:t>VIII. Abstenerse de ejercer las funciones de un empleo, cargo o comisión, por haber concluido el período para el cual se le designó, por haber sido cesado o por cualquier otra causa legal que se lo impida;</w:t>
            </w:r>
          </w:p>
          <w:p w:rsidR="00E757EB" w:rsidRPr="00FC5A48" w:rsidRDefault="00E757EB" w:rsidP="006B5D5C">
            <w:pPr>
              <w:ind w:firstLine="34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E757EB" w:rsidRPr="00FC5A48" w:rsidRDefault="00E757EB" w:rsidP="006B5D5C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FC5A48">
              <w:rPr>
                <w:rFonts w:ascii="Verdana" w:hAnsi="Verdana"/>
                <w:sz w:val="22"/>
                <w:szCs w:val="22"/>
              </w:rPr>
              <w:t>Correcta</w:t>
            </w:r>
          </w:p>
        </w:tc>
      </w:tr>
      <w:tr w:rsidR="00E757EB" w:rsidRPr="00FC5A48" w:rsidTr="006B5D5C">
        <w:trPr>
          <w:jc w:val="center"/>
        </w:trPr>
        <w:tc>
          <w:tcPr>
            <w:tcW w:w="5134" w:type="dxa"/>
            <w:shd w:val="clear" w:color="auto" w:fill="auto"/>
          </w:tcPr>
          <w:p w:rsidR="00E757EB" w:rsidRDefault="00E757EB" w:rsidP="006B5D5C">
            <w:pPr>
              <w:jc w:val="both"/>
            </w:pPr>
            <w:r>
              <w:t>XV. Presentar con oportunidad y veracidad las declaraciones de situación patrimonial, en los términos establecidos por la Ley;</w:t>
            </w:r>
          </w:p>
          <w:p w:rsidR="00E757EB" w:rsidRDefault="00E757EB" w:rsidP="006B5D5C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:rsidR="00E757EB" w:rsidRPr="00FC5A48" w:rsidRDefault="00E757EB" w:rsidP="006B5D5C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FC5A48">
              <w:rPr>
                <w:rFonts w:ascii="Verdana" w:hAnsi="Verdana"/>
                <w:sz w:val="22"/>
                <w:szCs w:val="22"/>
              </w:rPr>
              <w:t>Incorrecta</w:t>
            </w:r>
          </w:p>
        </w:tc>
      </w:tr>
    </w:tbl>
    <w:p w:rsidR="00E757EB" w:rsidRDefault="00E757EB" w:rsidP="00E757EB">
      <w:pPr>
        <w:jc w:val="both"/>
        <w:rPr>
          <w:rFonts w:ascii="Verdana" w:hAnsi="Verdana"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  <w:bookmarkStart w:id="4" w:name="_GoBack"/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bookmarkEnd w:id="4"/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AF5D94" w:rsidRDefault="00AF5D94" w:rsidP="00AF5D94">
      <w:pPr>
        <w:jc w:val="both"/>
        <w:rPr>
          <w:rFonts w:ascii="Verdana" w:hAnsi="Verdana"/>
          <w:b/>
          <w:sz w:val="22"/>
          <w:szCs w:val="22"/>
        </w:rPr>
      </w:pPr>
    </w:p>
    <w:p w:rsidR="009F289F" w:rsidRPr="00AF5D94" w:rsidRDefault="009F289F" w:rsidP="00AF5D94"/>
    <w:sectPr w:rsidR="009F289F" w:rsidRPr="00AF5D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ngèlica Marìa" w:date="2014-10-08T12:49:00Z" w:initials="AM">
    <w:p w:rsidR="00E757EB" w:rsidRPr="007D43E4" w:rsidRDefault="00E757EB" w:rsidP="00E757EB">
      <w:pPr>
        <w:pStyle w:val="Textocomentario"/>
        <w:rPr>
          <w:color w:val="FF0000"/>
        </w:rPr>
      </w:pPr>
      <w:r>
        <w:rPr>
          <w:rStyle w:val="Refdecomentario"/>
        </w:rPr>
        <w:annotationRef/>
      </w:r>
      <w:r w:rsidRPr="007D43E4">
        <w:rPr>
          <w:color w:val="FF0000"/>
        </w:rPr>
        <w:t>Se modificó redacción.</w:t>
      </w:r>
    </w:p>
  </w:comment>
  <w:comment w:id="1" w:author="Angèlica Marìa" w:date="2014-10-08T12:49:00Z" w:initials="AM">
    <w:p w:rsidR="00E757EB" w:rsidRPr="00B355BD" w:rsidRDefault="00E757EB" w:rsidP="00E757EB">
      <w:pPr>
        <w:pStyle w:val="Textocomentario"/>
        <w:rPr>
          <w:color w:val="FF0000"/>
        </w:rPr>
      </w:pPr>
      <w:r>
        <w:rPr>
          <w:rStyle w:val="Refdecomentario"/>
        </w:rPr>
        <w:annotationRef/>
      </w:r>
      <w:r w:rsidRPr="00B355BD">
        <w:rPr>
          <w:color w:val="FF0000"/>
        </w:rPr>
        <w:t xml:space="preserve">Eliminar </w:t>
      </w:r>
      <w:r>
        <w:rPr>
          <w:color w:val="FF0000"/>
        </w:rPr>
        <w:t xml:space="preserve">este </w:t>
      </w:r>
      <w:r w:rsidRPr="00B355BD">
        <w:rPr>
          <w:color w:val="FF0000"/>
        </w:rPr>
        <w:t>renglón.</w:t>
      </w:r>
    </w:p>
  </w:comment>
  <w:comment w:id="2" w:author="Angèlica Marìa" w:date="2014-10-08T12:49:00Z" w:initials="AM">
    <w:p w:rsidR="00E757EB" w:rsidRPr="00B355BD" w:rsidRDefault="00E757EB" w:rsidP="00E757EB">
      <w:pPr>
        <w:pStyle w:val="Textocomentario"/>
        <w:rPr>
          <w:color w:val="FF0000"/>
        </w:rPr>
      </w:pPr>
      <w:r>
        <w:rPr>
          <w:rStyle w:val="Refdecomentario"/>
        </w:rPr>
        <w:annotationRef/>
      </w:r>
      <w:r w:rsidRPr="00B355BD">
        <w:rPr>
          <w:color w:val="FF0000"/>
        </w:rPr>
        <w:t>Se agregó.</w:t>
      </w:r>
    </w:p>
  </w:comment>
  <w:comment w:id="3" w:author="Angèlica Marìa" w:date="2014-10-08T12:49:00Z" w:initials="AM">
    <w:p w:rsidR="00E757EB" w:rsidRPr="00233B63" w:rsidRDefault="00E757EB" w:rsidP="00E757EB">
      <w:pPr>
        <w:pStyle w:val="Textocomentario"/>
        <w:rPr>
          <w:color w:val="FF0000"/>
        </w:rPr>
      </w:pPr>
      <w:r>
        <w:rPr>
          <w:rStyle w:val="Refdecomentario"/>
        </w:rPr>
        <w:annotationRef/>
      </w:r>
      <w:r w:rsidRPr="00233B63">
        <w:rPr>
          <w:color w:val="FF0000"/>
        </w:rPr>
        <w:t>Se agregó URL.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328F"/>
    <w:multiLevelType w:val="hybridMultilevel"/>
    <w:tmpl w:val="A080F9C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537A3"/>
    <w:multiLevelType w:val="hybridMultilevel"/>
    <w:tmpl w:val="B2FA8E66"/>
    <w:lvl w:ilvl="0" w:tplc="97288570">
      <w:start w:val="1"/>
      <w:numFmt w:val="lowerLetter"/>
      <w:lvlText w:val="%1)"/>
      <w:lvlJc w:val="left"/>
      <w:pPr>
        <w:ind w:left="1494" w:hanging="360"/>
      </w:pPr>
      <w:rPr>
        <w:rFonts w:ascii="Verdana" w:hAnsi="Verdana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593D4C44"/>
    <w:multiLevelType w:val="hybridMultilevel"/>
    <w:tmpl w:val="FBAC8DFC"/>
    <w:lvl w:ilvl="0" w:tplc="BCF2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8E"/>
    <w:rsid w:val="009F289F"/>
    <w:rsid w:val="00AF5D94"/>
    <w:rsid w:val="00DC038E"/>
    <w:rsid w:val="00E7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94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DC038E"/>
    <w:pPr>
      <w:spacing w:after="200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rPr>
      <w:rFonts w:ascii="Tahoma" w:eastAsiaTheme="minorHAnsi" w:hAnsi="Tahoma" w:cs="Tahoma"/>
      <w:bCs w:val="0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  <w:style w:type="character" w:styleId="Hipervnculo">
    <w:name w:val="Hyperlink"/>
    <w:rsid w:val="00AF5D9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5D94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94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DC038E"/>
    <w:pPr>
      <w:spacing w:after="200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rPr>
      <w:rFonts w:ascii="Tahoma" w:eastAsiaTheme="minorHAnsi" w:hAnsi="Tahoma" w:cs="Tahoma"/>
      <w:bCs w:val="0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  <w:style w:type="character" w:styleId="Hipervnculo">
    <w:name w:val="Hyperlink"/>
    <w:rsid w:val="00AF5D9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5D94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aprensa.mx/notas.asp?id=3002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</dc:creator>
  <cp:lastModifiedBy>Yadira</cp:lastModifiedBy>
  <cp:revision>2</cp:revision>
  <dcterms:created xsi:type="dcterms:W3CDTF">2014-10-08T17:50:00Z</dcterms:created>
  <dcterms:modified xsi:type="dcterms:W3CDTF">2014-10-08T17:50:00Z</dcterms:modified>
</cp:coreProperties>
</file>