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b/>
          <w:sz w:val="22"/>
          <w:szCs w:val="22"/>
        </w:rPr>
        <w:t>Fuentes de consulta y sitios electrónicos</w:t>
      </w:r>
      <w:bookmarkStart w:id="0" w:name="_GoBack"/>
      <w:bookmarkEnd w:id="0"/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color w:val="000000"/>
          <w:sz w:val="22"/>
          <w:szCs w:val="22"/>
        </w:rPr>
        <w:t xml:space="preserve">Carbonell, M. y Vázquez, R. (2003). </w:t>
      </w:r>
      <w:r w:rsidRPr="00246F17">
        <w:rPr>
          <w:rFonts w:ascii="Verdana" w:hAnsi="Verdana"/>
          <w:i/>
          <w:color w:val="000000"/>
          <w:sz w:val="22"/>
          <w:szCs w:val="22"/>
        </w:rPr>
        <w:t>Poder, derecho y corrupción</w:t>
      </w:r>
      <w:r w:rsidRPr="00246F17">
        <w:rPr>
          <w:rFonts w:ascii="Verdana" w:hAnsi="Verdana"/>
          <w:color w:val="000000"/>
          <w:sz w:val="22"/>
          <w:szCs w:val="22"/>
        </w:rPr>
        <w:t xml:space="preserve"> (coordinadores). México: Instituto Federal Electoral/Instituto Tecnológico Autónomo de México.</w:t>
      </w: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color w:val="000000"/>
          <w:sz w:val="22"/>
          <w:szCs w:val="22"/>
        </w:rPr>
        <w:t xml:space="preserve">Garzón, E. (s.f.). </w:t>
      </w:r>
      <w:r w:rsidRPr="00246F17">
        <w:rPr>
          <w:rFonts w:ascii="Verdana" w:hAnsi="Verdana"/>
          <w:i/>
          <w:color w:val="000000"/>
          <w:sz w:val="22"/>
          <w:szCs w:val="22"/>
        </w:rPr>
        <w:t>Acerca del concepto de corrupción en Poder Derecho y Corrupción</w:t>
      </w:r>
      <w:r w:rsidRPr="00246F17">
        <w:rPr>
          <w:rFonts w:ascii="Verdana" w:hAnsi="Verdana"/>
          <w:color w:val="000000"/>
          <w:sz w:val="22"/>
          <w:szCs w:val="22"/>
        </w:rPr>
        <w:t>. México: Instituto Federal Electoral/Instituto Tecnológico Autónomo de México.</w:t>
      </w: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color w:val="000000"/>
          <w:sz w:val="22"/>
          <w:szCs w:val="22"/>
        </w:rPr>
        <w:t xml:space="preserve"> </w:t>
      </w:r>
      <w:proofErr w:type="gramStart"/>
      <w:r w:rsidRPr="00246F17">
        <w:rPr>
          <w:rFonts w:ascii="Verdana" w:hAnsi="Verdana"/>
          <w:color w:val="000000"/>
          <w:sz w:val="22"/>
          <w:szCs w:val="22"/>
        </w:rPr>
        <w:t>p.19-44</w:t>
      </w:r>
      <w:proofErr w:type="gramEnd"/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proofErr w:type="spellStart"/>
      <w:r w:rsidRPr="00246F17">
        <w:rPr>
          <w:rFonts w:ascii="Verdana" w:hAnsi="Verdana"/>
          <w:color w:val="000000"/>
          <w:sz w:val="22"/>
          <w:szCs w:val="22"/>
        </w:rPr>
        <w:t>Nouel</w:t>
      </w:r>
      <w:proofErr w:type="spellEnd"/>
      <w:r w:rsidRPr="00246F17">
        <w:rPr>
          <w:rFonts w:ascii="Verdana" w:hAnsi="Verdana"/>
          <w:color w:val="000000"/>
          <w:sz w:val="22"/>
          <w:szCs w:val="22"/>
        </w:rPr>
        <w:t>, E. (2006). Nuevos temas de Derecho Internacional: Ensayos sobre los nuevos principios y conceptos que rigen las relaciones internacionales. V</w:t>
      </w:r>
      <w:r>
        <w:rPr>
          <w:rFonts w:ascii="Verdana" w:hAnsi="Verdana"/>
          <w:color w:val="000000"/>
          <w:sz w:val="22"/>
          <w:szCs w:val="22"/>
        </w:rPr>
        <w:t>enezuela: Caracas Editorial CEC</w:t>
      </w:r>
      <w:r w:rsidRPr="00246F17">
        <w:rPr>
          <w:rFonts w:ascii="Verdana" w:hAnsi="Verdana"/>
          <w:color w:val="000000"/>
          <w:sz w:val="22"/>
          <w:szCs w:val="22"/>
        </w:rPr>
        <w:t>, SA. Los libros de EL NACIONAL.</w:t>
      </w: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proofErr w:type="spellStart"/>
      <w:r w:rsidRPr="00246F17">
        <w:rPr>
          <w:rFonts w:ascii="Verdana" w:hAnsi="Verdana"/>
          <w:color w:val="000000"/>
          <w:sz w:val="22"/>
          <w:szCs w:val="22"/>
        </w:rPr>
        <w:t>Rabotnikof</w:t>
      </w:r>
      <w:proofErr w:type="spellEnd"/>
      <w:r w:rsidRPr="00246F17">
        <w:rPr>
          <w:rFonts w:ascii="Verdana" w:hAnsi="Verdana"/>
          <w:color w:val="000000"/>
          <w:sz w:val="22"/>
          <w:szCs w:val="22"/>
        </w:rPr>
        <w:t xml:space="preserve">, N. (2003). </w:t>
      </w:r>
      <w:r w:rsidRPr="00246F17">
        <w:rPr>
          <w:rFonts w:ascii="Verdana" w:hAnsi="Verdana"/>
          <w:i/>
          <w:color w:val="000000"/>
          <w:sz w:val="22"/>
          <w:szCs w:val="22"/>
        </w:rPr>
        <w:t>Corrupción política: definiciones técnicas y sentidos sedimentados. Poder, derecho y corrupción</w:t>
      </w:r>
      <w:r w:rsidRPr="00246F17">
        <w:rPr>
          <w:rFonts w:ascii="Verdana" w:hAnsi="Verdana"/>
          <w:color w:val="000000"/>
          <w:sz w:val="22"/>
          <w:szCs w:val="22"/>
        </w:rPr>
        <w:t>. México: Instituto Federal Electoral/Instituto Tecnológico Autónomo de México.</w:t>
      </w:r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proofErr w:type="gramStart"/>
      <w:r w:rsidRPr="00246F17">
        <w:rPr>
          <w:rFonts w:ascii="Verdana" w:hAnsi="Verdana"/>
          <w:color w:val="000000"/>
          <w:sz w:val="22"/>
          <w:szCs w:val="22"/>
        </w:rPr>
        <w:t>p.45-60</w:t>
      </w:r>
      <w:proofErr w:type="gramEnd"/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EB0D8C">
        <w:rPr>
          <w:rFonts w:ascii="Verdana" w:hAnsi="Verdana"/>
          <w:color w:val="000000"/>
          <w:sz w:val="22"/>
          <w:szCs w:val="22"/>
        </w:rPr>
        <w:t xml:space="preserve">Sandoval, I. </w:t>
      </w:r>
      <w:r>
        <w:rPr>
          <w:rFonts w:ascii="Verdana" w:hAnsi="Verdana"/>
          <w:color w:val="000000"/>
          <w:sz w:val="22"/>
          <w:szCs w:val="22"/>
        </w:rPr>
        <w:t>(</w:t>
      </w:r>
      <w:r w:rsidRPr="00EB0D8C">
        <w:rPr>
          <w:rFonts w:ascii="Verdana" w:hAnsi="Verdana"/>
          <w:color w:val="000000"/>
          <w:sz w:val="22"/>
          <w:szCs w:val="22"/>
        </w:rPr>
        <w:t>2009</w:t>
      </w:r>
      <w:r>
        <w:rPr>
          <w:rFonts w:ascii="Verdana" w:hAnsi="Verdana"/>
          <w:color w:val="000000"/>
          <w:sz w:val="22"/>
          <w:szCs w:val="22"/>
        </w:rPr>
        <w:t>)</w:t>
      </w:r>
      <w:r w:rsidRPr="00EB0D8C">
        <w:rPr>
          <w:rFonts w:ascii="Verdana" w:hAnsi="Verdana"/>
          <w:color w:val="000000"/>
          <w:sz w:val="22"/>
          <w:szCs w:val="22"/>
        </w:rPr>
        <w:t xml:space="preserve"> Corrupción y transparencia: debatiendo las fronteras entre Estado, mercado y sociedad. </w:t>
      </w:r>
      <w:r>
        <w:rPr>
          <w:rFonts w:ascii="Verdana" w:hAnsi="Verdana"/>
          <w:color w:val="000000"/>
          <w:sz w:val="22"/>
          <w:szCs w:val="22"/>
        </w:rPr>
        <w:t>México,</w:t>
      </w:r>
      <w:r w:rsidRPr="00EB0D8C">
        <w:rPr>
          <w:rFonts w:ascii="Verdana" w:hAnsi="Verdana"/>
          <w:color w:val="000000"/>
          <w:sz w:val="22"/>
          <w:szCs w:val="22"/>
        </w:rPr>
        <w:t xml:space="preserve"> Siglo XXI UNAM, Instituto de Investigaciones Sociales</w:t>
      </w: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b/>
          <w:color w:val="000000"/>
          <w:sz w:val="22"/>
          <w:szCs w:val="22"/>
        </w:rPr>
      </w:pPr>
      <w:proofErr w:type="spellStart"/>
      <w:r w:rsidRPr="00246F17">
        <w:rPr>
          <w:rFonts w:ascii="Verdana" w:hAnsi="Verdana"/>
          <w:b/>
          <w:color w:val="000000"/>
          <w:sz w:val="22"/>
          <w:szCs w:val="22"/>
        </w:rPr>
        <w:t>Cibergrafía</w:t>
      </w:r>
      <w:proofErr w:type="spellEnd"/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color w:val="000000"/>
          <w:sz w:val="22"/>
          <w:szCs w:val="22"/>
        </w:rPr>
        <w:t xml:space="preserve">Auditoría Superior de la Federación (2009, febrero) [Versión electrónica]. </w:t>
      </w:r>
      <w:r w:rsidRPr="00246F17">
        <w:rPr>
          <w:rFonts w:ascii="Verdana" w:hAnsi="Verdana"/>
          <w:i/>
          <w:color w:val="000000"/>
          <w:sz w:val="22"/>
          <w:szCs w:val="22"/>
        </w:rPr>
        <w:t>Gaceta electrónica de la Auditoría Superior de la Federación</w:t>
      </w:r>
      <w:r w:rsidRPr="00246F17">
        <w:rPr>
          <w:rFonts w:ascii="Verdana" w:hAnsi="Verdana"/>
          <w:color w:val="000000"/>
          <w:sz w:val="22"/>
          <w:szCs w:val="22"/>
        </w:rPr>
        <w:t xml:space="preserve">, 1, (1). Consultado el 21 de julio de 2014 de: </w:t>
      </w:r>
      <w:hyperlink r:id="rId8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http://www.asf.gob.mx/uploa</w:t>
        </w:r>
        <w:r w:rsidRPr="00246F17">
          <w:rPr>
            <w:rStyle w:val="Hipervnculo"/>
            <w:rFonts w:ascii="Verdana" w:hAnsi="Verdana"/>
            <w:sz w:val="22"/>
            <w:szCs w:val="22"/>
          </w:rPr>
          <w:t>d</w:t>
        </w:r>
        <w:r w:rsidRPr="00246F17">
          <w:rPr>
            <w:rStyle w:val="Hipervnculo"/>
            <w:rFonts w:ascii="Verdana" w:hAnsi="Verdana"/>
            <w:sz w:val="22"/>
            <w:szCs w:val="22"/>
          </w:rPr>
          <w:t>s/79_Gaceta_electronica/Gace</w:t>
        </w:r>
        <w:r w:rsidRPr="00246F17">
          <w:rPr>
            <w:rStyle w:val="Hipervnculo"/>
            <w:rFonts w:ascii="Verdana" w:hAnsi="Verdana"/>
            <w:sz w:val="22"/>
            <w:szCs w:val="22"/>
          </w:rPr>
          <w:t>t</w:t>
        </w:r>
        <w:r w:rsidRPr="00246F17">
          <w:rPr>
            <w:rStyle w:val="Hipervnculo"/>
            <w:rFonts w:ascii="Verdana" w:hAnsi="Verdana"/>
            <w:sz w:val="22"/>
            <w:szCs w:val="22"/>
          </w:rPr>
          <w:t>a01.pdf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i/>
          <w:color w:val="000000"/>
          <w:sz w:val="22"/>
          <w:szCs w:val="22"/>
        </w:rPr>
        <w:t>Auditoría Superior de la Federación</w:t>
      </w:r>
      <w:r w:rsidRPr="00246F17">
        <w:rPr>
          <w:rFonts w:ascii="Verdana" w:hAnsi="Verdana"/>
          <w:color w:val="000000"/>
          <w:sz w:val="22"/>
          <w:szCs w:val="22"/>
        </w:rPr>
        <w:t xml:space="preserve"> (2009, septiembre). Fiscalización Superior en México. Reformas a la CPEUM y a la Ley Reglamentaria, 185º aniversario. Consultado el 21 de julio de 2014 de:  </w:t>
      </w:r>
      <w:hyperlink r:id="rId9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http://www.asf.gob.mx/uploads/61_Publicaciones_tecnicas/185_Aniv.pdf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proofErr w:type="spellStart"/>
      <w:r w:rsidRPr="00246F17">
        <w:rPr>
          <w:rFonts w:ascii="Verdana" w:hAnsi="Verdana"/>
          <w:color w:val="000000"/>
          <w:sz w:val="22"/>
          <w:szCs w:val="22"/>
        </w:rPr>
        <w:t>Begovic</w:t>
      </w:r>
      <w:proofErr w:type="spellEnd"/>
      <w:r w:rsidRPr="00246F17">
        <w:rPr>
          <w:rFonts w:ascii="Verdana" w:hAnsi="Verdana"/>
          <w:color w:val="000000"/>
          <w:sz w:val="22"/>
          <w:szCs w:val="22"/>
        </w:rPr>
        <w:t xml:space="preserve">, B. (2005, marzo). Corrupción: conceptos, tipos, causas y consecuencias [Versión electrónica]. </w:t>
      </w:r>
      <w:r w:rsidRPr="00246F17">
        <w:rPr>
          <w:rFonts w:ascii="Verdana" w:hAnsi="Verdana"/>
          <w:i/>
          <w:color w:val="000000"/>
          <w:sz w:val="22"/>
          <w:szCs w:val="22"/>
        </w:rPr>
        <w:t>CADAL</w:t>
      </w:r>
      <w:r w:rsidRPr="00246F17">
        <w:rPr>
          <w:rFonts w:ascii="Verdana" w:hAnsi="Verdana"/>
          <w:color w:val="000000"/>
          <w:sz w:val="22"/>
          <w:szCs w:val="22"/>
        </w:rPr>
        <w:t xml:space="preserve">, Año III, 26. Consultado el 21 de julio de 2014 de: </w:t>
      </w:r>
      <w:hyperlink r:id="rId10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http://www.cadal.org/documentos/documento_26.pdf</w:t>
        </w:r>
      </w:hyperlink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Cámara de Diputados (2014) [Versión electrónica]. </w:t>
      </w:r>
      <w:r w:rsidRPr="00E52722">
        <w:rPr>
          <w:rFonts w:ascii="Verdana" w:hAnsi="Verdana"/>
          <w:i/>
          <w:color w:val="000000"/>
          <w:sz w:val="22"/>
          <w:szCs w:val="22"/>
        </w:rPr>
        <w:t>Ley de Responsabilidades Administrativas de los Servidores Públicos</w:t>
      </w:r>
      <w:r>
        <w:rPr>
          <w:rFonts w:ascii="Verdana" w:hAnsi="Verdana"/>
          <w:color w:val="000000"/>
          <w:sz w:val="22"/>
          <w:szCs w:val="22"/>
        </w:rPr>
        <w:t xml:space="preserve">. Consultada el 23 de septiembre de 2014 de: </w:t>
      </w:r>
      <w:hyperlink r:id="rId11" w:history="1">
        <w:r w:rsidRPr="005F0CD2">
          <w:rPr>
            <w:rStyle w:val="Hipervnculo"/>
            <w:rFonts w:ascii="Verdana" w:hAnsi="Verdana"/>
            <w:sz w:val="22"/>
            <w:szCs w:val="22"/>
          </w:rPr>
          <w:t>http://www.diputados.gob.mx/LeyesBib</w:t>
        </w:r>
        <w:r w:rsidRPr="005F0CD2">
          <w:rPr>
            <w:rStyle w:val="Hipervnculo"/>
            <w:rFonts w:ascii="Verdana" w:hAnsi="Verdana"/>
            <w:sz w:val="22"/>
            <w:szCs w:val="22"/>
          </w:rPr>
          <w:t>l</w:t>
        </w:r>
        <w:r w:rsidRPr="005F0CD2">
          <w:rPr>
            <w:rStyle w:val="Hipervnculo"/>
            <w:rFonts w:ascii="Verdana" w:hAnsi="Verdana"/>
            <w:sz w:val="22"/>
            <w:szCs w:val="22"/>
          </w:rPr>
          <w:t>io/pdf/240_140714.pdf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i/>
          <w:color w:val="000000"/>
          <w:sz w:val="22"/>
          <w:szCs w:val="22"/>
        </w:rPr>
        <w:t xml:space="preserve">Cultura de la legalidad. Los posibles significados de una frase que debiera ser </w:t>
      </w:r>
      <w:proofErr w:type="gramStart"/>
      <w:r w:rsidRPr="00246F17">
        <w:rPr>
          <w:rFonts w:ascii="Verdana" w:hAnsi="Verdana"/>
          <w:i/>
          <w:color w:val="000000"/>
          <w:sz w:val="22"/>
          <w:szCs w:val="22"/>
        </w:rPr>
        <w:t>parte</w:t>
      </w:r>
      <w:proofErr w:type="gramEnd"/>
      <w:r w:rsidRPr="00246F17">
        <w:rPr>
          <w:rFonts w:ascii="Verdana" w:hAnsi="Verdana"/>
          <w:i/>
          <w:color w:val="000000"/>
          <w:sz w:val="22"/>
          <w:szCs w:val="22"/>
        </w:rPr>
        <w:t xml:space="preserve"> de nuestra vida cotidiana</w:t>
      </w:r>
      <w:r w:rsidRPr="00246F17">
        <w:rPr>
          <w:rFonts w:ascii="Verdana" w:hAnsi="Verdana"/>
          <w:color w:val="000000"/>
          <w:sz w:val="22"/>
          <w:szCs w:val="22"/>
        </w:rPr>
        <w:t xml:space="preserve"> (s.a.) (s.f.). [Versión electrónica]. Consultado el 22 de julio de 2014 de:  </w:t>
      </w:r>
      <w:hyperlink r:id="rId12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http://www2.scjn.</w:t>
        </w:r>
        <w:r w:rsidRPr="00246F17">
          <w:rPr>
            <w:rStyle w:val="Hipervnculo"/>
            <w:rFonts w:ascii="Verdana" w:hAnsi="Verdana"/>
            <w:sz w:val="22"/>
            <w:szCs w:val="22"/>
          </w:rPr>
          <w:t>g</w:t>
        </w:r>
        <w:r w:rsidRPr="00246F17">
          <w:rPr>
            <w:rStyle w:val="Hipervnculo"/>
            <w:rFonts w:ascii="Verdana" w:hAnsi="Verdana"/>
            <w:sz w:val="22"/>
            <w:szCs w:val="22"/>
          </w:rPr>
          <w:t>ob.mx/Ministros/oscgv/Public/CULTURA%20DE%20LA%20</w:t>
        </w:r>
        <w:r w:rsidRPr="00246F17">
          <w:rPr>
            <w:rStyle w:val="Hipervnculo"/>
            <w:rFonts w:ascii="Verdana" w:hAnsi="Verdana"/>
            <w:sz w:val="22"/>
            <w:szCs w:val="22"/>
          </w:rPr>
          <w:t>L</w:t>
        </w:r>
        <w:r w:rsidRPr="00246F17">
          <w:rPr>
            <w:rStyle w:val="Hipervnculo"/>
            <w:rFonts w:ascii="Verdana" w:hAnsi="Verdana"/>
            <w:sz w:val="22"/>
            <w:szCs w:val="22"/>
          </w:rPr>
          <w:t>EGALIDAD.pdf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proofErr w:type="spellStart"/>
      <w:r w:rsidRPr="00246F17">
        <w:rPr>
          <w:rFonts w:ascii="Verdana" w:hAnsi="Verdana"/>
          <w:color w:val="000000"/>
          <w:sz w:val="22"/>
          <w:szCs w:val="22"/>
        </w:rPr>
        <w:t>Hodgson</w:t>
      </w:r>
      <w:proofErr w:type="spellEnd"/>
      <w:r w:rsidRPr="00246F17">
        <w:rPr>
          <w:rFonts w:ascii="Verdana" w:hAnsi="Verdana"/>
          <w:color w:val="000000"/>
          <w:sz w:val="22"/>
          <w:szCs w:val="22"/>
        </w:rPr>
        <w:t xml:space="preserve">, G. y </w:t>
      </w:r>
      <w:proofErr w:type="spellStart"/>
      <w:r w:rsidRPr="00246F17">
        <w:rPr>
          <w:rFonts w:ascii="Verdana" w:hAnsi="Verdana"/>
          <w:color w:val="000000"/>
          <w:sz w:val="22"/>
          <w:szCs w:val="22"/>
        </w:rPr>
        <w:t>Jiang</w:t>
      </w:r>
      <w:proofErr w:type="spellEnd"/>
      <w:r w:rsidRPr="00246F17">
        <w:rPr>
          <w:rFonts w:ascii="Verdana" w:hAnsi="Verdana"/>
          <w:color w:val="000000"/>
          <w:sz w:val="22"/>
          <w:szCs w:val="22"/>
        </w:rPr>
        <w:t xml:space="preserve">, S. (2008). La economía de la corrupción y la corrupción de la economía: una perspectiva institucionalista [Versión electrónica]. </w:t>
      </w:r>
      <w:r w:rsidRPr="00246F17">
        <w:rPr>
          <w:rFonts w:ascii="Verdana" w:hAnsi="Verdana"/>
          <w:i/>
          <w:color w:val="000000"/>
          <w:sz w:val="22"/>
          <w:szCs w:val="22"/>
        </w:rPr>
        <w:t>Revista de Economía Institucional</w:t>
      </w:r>
      <w:r w:rsidRPr="00246F17">
        <w:rPr>
          <w:rFonts w:ascii="Verdana" w:hAnsi="Verdana"/>
          <w:color w:val="000000"/>
          <w:sz w:val="22"/>
          <w:szCs w:val="22"/>
        </w:rPr>
        <w:t xml:space="preserve">, 10, 18, 55-80. Consultado el 23 de julio de 2014 de: </w:t>
      </w:r>
      <w:hyperlink r:id="rId13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http://www.economi</w:t>
        </w:r>
        <w:r w:rsidRPr="00246F17">
          <w:rPr>
            <w:rStyle w:val="Hipervnculo"/>
            <w:rFonts w:ascii="Verdana" w:hAnsi="Verdana"/>
            <w:sz w:val="22"/>
            <w:szCs w:val="22"/>
          </w:rPr>
          <w:t>a</w:t>
        </w:r>
        <w:r w:rsidRPr="00246F17">
          <w:rPr>
            <w:rStyle w:val="Hipervnculo"/>
            <w:rFonts w:ascii="Verdana" w:hAnsi="Verdana"/>
            <w:sz w:val="22"/>
            <w:szCs w:val="22"/>
          </w:rPr>
          <w:t>institucional.com/pdf/No18/ghodgson18.pdf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i/>
          <w:color w:val="000000"/>
          <w:sz w:val="22"/>
          <w:szCs w:val="22"/>
        </w:rPr>
        <w:t xml:space="preserve">INEGI </w:t>
      </w:r>
      <w:r w:rsidRPr="00246F17">
        <w:rPr>
          <w:rFonts w:ascii="Verdana" w:hAnsi="Verdana"/>
          <w:color w:val="000000"/>
          <w:sz w:val="22"/>
          <w:szCs w:val="22"/>
        </w:rPr>
        <w:t xml:space="preserve">(2013). Encuesta Nacional de Calidad e Impacto Gubernamental (ENCIG). Consultado el 23 de julio de 2014 de: </w:t>
      </w:r>
      <w:hyperlink r:id="rId14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http://www.inegi.org.mx/est/contenidos/proyectos/encuestas/hogares/especiales/encig/2013/default.aspx</w:t>
        </w:r>
      </w:hyperlink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Instituto de Investigaciones Jurídicas (2014). </w:t>
      </w:r>
      <w:r w:rsidRPr="00976C55">
        <w:rPr>
          <w:rFonts w:ascii="Verdana" w:hAnsi="Verdana"/>
          <w:i/>
          <w:color w:val="000000"/>
          <w:sz w:val="22"/>
          <w:szCs w:val="22"/>
        </w:rPr>
        <w:t>Código Penal Federal</w:t>
      </w:r>
      <w:r>
        <w:rPr>
          <w:rFonts w:ascii="Verdana" w:hAnsi="Verdana"/>
          <w:color w:val="000000"/>
          <w:sz w:val="22"/>
          <w:szCs w:val="22"/>
        </w:rPr>
        <w:t xml:space="preserve">. Consultado el 24 de septiembre de 2014 de: </w:t>
      </w:r>
      <w:hyperlink r:id="rId15" w:history="1">
        <w:r w:rsidRPr="005F0CD2">
          <w:rPr>
            <w:rStyle w:val="Hipervnculo"/>
            <w:rFonts w:ascii="Verdana" w:hAnsi="Verdana"/>
            <w:sz w:val="22"/>
            <w:szCs w:val="22"/>
          </w:rPr>
          <w:t>http://info4.juridicas.unam.mx/ijure/fed/8/283.htm?s</w:t>
        </w:r>
      </w:hyperlink>
      <w:r>
        <w:rPr>
          <w:rFonts w:ascii="Verdana" w:hAnsi="Verdana"/>
          <w:color w:val="000000"/>
          <w:sz w:val="22"/>
          <w:szCs w:val="22"/>
        </w:rPr>
        <w:t>=</w:t>
      </w: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i/>
          <w:color w:val="000000"/>
          <w:sz w:val="22"/>
          <w:szCs w:val="22"/>
        </w:rPr>
        <w:t>Organización de las Naciones Unidas</w:t>
      </w:r>
      <w:r w:rsidRPr="00246F17">
        <w:rPr>
          <w:rFonts w:ascii="Verdana" w:hAnsi="Verdana"/>
          <w:color w:val="000000"/>
          <w:sz w:val="22"/>
          <w:szCs w:val="22"/>
        </w:rPr>
        <w:t xml:space="preserve"> (s.f.). Convención de las Naciones Unidas contra la Corrupción [Versión electrónica]. Consultado el 23 de julio de 2014 de:  </w:t>
      </w:r>
      <w:hyperlink r:id="rId16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http://www.unodc.org/pdf/corruption/publications_unodc_convention-s.pdf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i/>
          <w:color w:val="000000"/>
          <w:sz w:val="22"/>
          <w:szCs w:val="22"/>
        </w:rPr>
        <w:t>Organización de las Naciones Unidas</w:t>
      </w:r>
      <w:r w:rsidRPr="00246F17">
        <w:rPr>
          <w:rFonts w:ascii="Verdana" w:hAnsi="Verdana"/>
          <w:color w:val="000000"/>
          <w:sz w:val="22"/>
          <w:szCs w:val="22"/>
        </w:rPr>
        <w:t xml:space="preserve"> (2011, noviembre). Día Internacional contra la Corrupción. Consultado el 24 de julio de 2014 de:  </w:t>
      </w:r>
      <w:hyperlink r:id="rId17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http://www.unodc.org/documents/your</w:t>
        </w:r>
        <w:r w:rsidRPr="00246F17">
          <w:rPr>
            <w:rStyle w:val="Hipervnculo"/>
            <w:rFonts w:ascii="Verdana" w:hAnsi="Verdana"/>
            <w:sz w:val="22"/>
            <w:szCs w:val="22"/>
          </w:rPr>
          <w:t>n</w:t>
        </w:r>
        <w:r w:rsidRPr="00246F17">
          <w:rPr>
            <w:rStyle w:val="Hipervnculo"/>
            <w:rFonts w:ascii="Verdana" w:hAnsi="Verdana"/>
            <w:sz w:val="22"/>
            <w:szCs w:val="22"/>
          </w:rPr>
          <w:t>ocounts/print/materials2011/leaflets/corr11_leaflet_ES.pdf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i/>
          <w:color w:val="000000"/>
          <w:sz w:val="22"/>
          <w:szCs w:val="22"/>
        </w:rPr>
        <w:t>Organización de las Naciones Unidas</w:t>
      </w:r>
      <w:r w:rsidRPr="00246F17">
        <w:rPr>
          <w:rFonts w:ascii="Verdana" w:hAnsi="Verdana"/>
          <w:color w:val="000000"/>
          <w:sz w:val="22"/>
          <w:szCs w:val="22"/>
        </w:rPr>
        <w:t xml:space="preserve"> (s.f.). Guía informativa de la lucha contra la corrupción [Versión electrónica]. Consultado el 24 de julio de 2014 de: </w:t>
      </w:r>
      <w:hyperlink r:id="rId18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http://www.unodc.org/pdf/9dec04/resourceg</w:t>
        </w:r>
        <w:r w:rsidRPr="00246F17">
          <w:rPr>
            <w:rStyle w:val="Hipervnculo"/>
            <w:rFonts w:ascii="Verdana" w:hAnsi="Verdana"/>
            <w:sz w:val="22"/>
            <w:szCs w:val="22"/>
          </w:rPr>
          <w:t>u</w:t>
        </w:r>
        <w:r w:rsidRPr="00246F17">
          <w:rPr>
            <w:rStyle w:val="Hipervnculo"/>
            <w:rFonts w:ascii="Verdana" w:hAnsi="Verdana"/>
            <w:sz w:val="22"/>
            <w:szCs w:val="22"/>
          </w:rPr>
          <w:t>ide_s.pdf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i/>
          <w:color w:val="000000"/>
          <w:sz w:val="22"/>
          <w:szCs w:val="22"/>
        </w:rPr>
        <w:t>Organización de las Naciones Unidas</w:t>
      </w:r>
      <w:r w:rsidRPr="00246F17">
        <w:rPr>
          <w:rFonts w:ascii="Verdana" w:hAnsi="Verdana"/>
          <w:color w:val="000000"/>
          <w:sz w:val="22"/>
          <w:szCs w:val="22"/>
        </w:rPr>
        <w:t xml:space="preserve"> (2006). Guía legislativa para la aplicación de la Convención de las Naciones Unidas contra la Corrupción [Versión electrónica]. Consultado el 25 de julio de 2014 de: </w:t>
      </w:r>
      <w:hyperlink r:id="rId19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http://www.unodc.org/pdf/crime/convention_corru</w:t>
        </w:r>
        <w:r w:rsidRPr="00246F17">
          <w:rPr>
            <w:rStyle w:val="Hipervnculo"/>
            <w:rFonts w:ascii="Verdana" w:hAnsi="Verdana"/>
            <w:sz w:val="22"/>
            <w:szCs w:val="22"/>
          </w:rPr>
          <w:t>p</w:t>
        </w:r>
        <w:r w:rsidRPr="00246F17">
          <w:rPr>
            <w:rStyle w:val="Hipervnculo"/>
            <w:rFonts w:ascii="Verdana" w:hAnsi="Verdana"/>
            <w:sz w:val="22"/>
            <w:szCs w:val="22"/>
          </w:rPr>
          <w:t>tion/cosp/Ebook/V0653443s.pdf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i/>
          <w:color w:val="000000"/>
          <w:sz w:val="22"/>
          <w:szCs w:val="22"/>
        </w:rPr>
        <w:t>Organización de las Naciones Unidas</w:t>
      </w:r>
      <w:r w:rsidRPr="00246F17">
        <w:rPr>
          <w:rFonts w:ascii="Verdana" w:hAnsi="Verdana"/>
          <w:color w:val="000000"/>
          <w:sz w:val="22"/>
          <w:szCs w:val="22"/>
        </w:rPr>
        <w:t xml:space="preserve"> (s.f.). Luche contra la corrupción. Consultado del 25 de julio de 2014 de: </w:t>
      </w:r>
      <w:hyperlink r:id="rId20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http://www.unodc.org/documents/yournocounts/pri</w:t>
        </w:r>
        <w:r w:rsidRPr="00246F17">
          <w:rPr>
            <w:rStyle w:val="Hipervnculo"/>
            <w:rFonts w:ascii="Verdana" w:hAnsi="Verdana"/>
            <w:sz w:val="22"/>
            <w:szCs w:val="22"/>
          </w:rPr>
          <w:t>n</w:t>
        </w:r>
        <w:r w:rsidRPr="00246F17">
          <w:rPr>
            <w:rStyle w:val="Hipervnculo"/>
            <w:rFonts w:ascii="Verdana" w:hAnsi="Verdana"/>
            <w:sz w:val="22"/>
            <w:szCs w:val="22"/>
          </w:rPr>
          <w:t>t/materials2011/call2action/corr11_call2action_A4_ES.pdf</w:t>
        </w:r>
      </w:hyperlink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Default="00F24495" w:rsidP="00F24495">
      <w:pPr>
        <w:jc w:val="both"/>
        <w:rPr>
          <w:rFonts w:ascii="Verdana" w:hAnsi="Verdana"/>
          <w:color w:val="333333"/>
          <w:sz w:val="22"/>
          <w:szCs w:val="22"/>
          <w:shd w:val="clear" w:color="auto" w:fill="FFFFFF"/>
        </w:rPr>
      </w:pPr>
      <w:r>
        <w:rPr>
          <w:rFonts w:ascii="Verdana" w:hAnsi="Verdana"/>
          <w:sz w:val="22"/>
          <w:szCs w:val="22"/>
        </w:rPr>
        <w:t xml:space="preserve">Paniagua, F. (2014, agosto). </w:t>
      </w:r>
      <w:r w:rsidRPr="001D6788">
        <w:rPr>
          <w:rFonts w:ascii="Verdana" w:hAnsi="Verdana"/>
          <w:sz w:val="22"/>
          <w:szCs w:val="22"/>
          <w:shd w:val="clear" w:color="auto" w:fill="FFFFFF"/>
        </w:rPr>
        <w:t>Capturan a la 'Elba Esther' de Hidalgo</w:t>
      </w:r>
      <w:r>
        <w:rPr>
          <w:rFonts w:ascii="Verdana" w:hAnsi="Verdana"/>
          <w:sz w:val="22"/>
          <w:szCs w:val="22"/>
        </w:rPr>
        <w:t xml:space="preserve">. </w:t>
      </w:r>
      <w:r w:rsidRPr="00F27761">
        <w:rPr>
          <w:rFonts w:ascii="Verdana" w:hAnsi="Verdana"/>
          <w:i/>
          <w:color w:val="333333"/>
          <w:sz w:val="22"/>
          <w:szCs w:val="22"/>
          <w:shd w:val="clear" w:color="auto" w:fill="FFFFFF"/>
        </w:rPr>
        <w:t>Agencia Reforma</w:t>
      </w:r>
      <w:r>
        <w:rPr>
          <w:rFonts w:ascii="Verdana" w:hAnsi="Verdana"/>
          <w:color w:val="333333"/>
          <w:sz w:val="22"/>
          <w:szCs w:val="22"/>
          <w:shd w:val="clear" w:color="auto" w:fill="FFFFFF"/>
        </w:rPr>
        <w:t xml:space="preserve">. Consultado el 12 de agosto de 2014 de: </w:t>
      </w:r>
      <w:hyperlink r:id="rId21" w:history="1">
        <w:r w:rsidRPr="00046EF3">
          <w:rPr>
            <w:rStyle w:val="Hipervnculo"/>
            <w:rFonts w:ascii="Verdana" w:hAnsi="Verdana"/>
            <w:sz w:val="22"/>
            <w:szCs w:val="22"/>
          </w:rPr>
          <w:t>http://laprensa.mx/notas.asp?id=</w:t>
        </w:r>
        <w:r w:rsidRPr="00046EF3">
          <w:rPr>
            <w:rStyle w:val="Hipervnculo"/>
            <w:rFonts w:ascii="Verdana" w:hAnsi="Verdana"/>
            <w:sz w:val="22"/>
            <w:szCs w:val="22"/>
          </w:rPr>
          <w:t>3</w:t>
        </w:r>
        <w:r w:rsidRPr="00046EF3">
          <w:rPr>
            <w:rStyle w:val="Hipervnculo"/>
            <w:rFonts w:ascii="Verdana" w:hAnsi="Verdana"/>
            <w:sz w:val="22"/>
            <w:szCs w:val="22"/>
          </w:rPr>
          <w:t>00248</w:t>
        </w:r>
      </w:hyperlink>
      <w:r w:rsidRPr="001C5D47">
        <w:rPr>
          <w:rFonts w:ascii="Verdana" w:hAnsi="Verdana"/>
          <w:color w:val="333333"/>
          <w:sz w:val="22"/>
          <w:szCs w:val="22"/>
          <w:shd w:val="clear" w:color="auto" w:fill="FFFFFF"/>
        </w:rPr>
        <w:t> </w:t>
      </w: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color w:val="000000"/>
          <w:sz w:val="22"/>
          <w:szCs w:val="22"/>
        </w:rPr>
        <w:t xml:space="preserve">Salazar, P. (2006). </w:t>
      </w:r>
      <w:r w:rsidRPr="00246F17">
        <w:rPr>
          <w:rFonts w:ascii="Verdana" w:hAnsi="Verdana"/>
          <w:i/>
          <w:color w:val="000000"/>
          <w:sz w:val="22"/>
          <w:szCs w:val="22"/>
        </w:rPr>
        <w:t>Democracia y cultura de la legalidad</w:t>
      </w:r>
      <w:r w:rsidRPr="00246F17">
        <w:rPr>
          <w:rFonts w:ascii="Verdana" w:hAnsi="Verdana"/>
          <w:color w:val="000000"/>
          <w:sz w:val="22"/>
          <w:szCs w:val="22"/>
        </w:rPr>
        <w:t xml:space="preserve"> [Versión electrónica]. México: Instituto Federal Electoral. Consultado el 25 de julio de 2014 de: </w:t>
      </w:r>
      <w:hyperlink r:id="rId22" w:history="1">
        <w:r w:rsidRPr="00246F17">
          <w:rPr>
            <w:rStyle w:val="Hipervnculo"/>
            <w:rFonts w:ascii="Verdana" w:hAnsi="Verdana"/>
            <w:sz w:val="22"/>
            <w:szCs w:val="22"/>
          </w:rPr>
          <w:t>http://www.ife.org.mx/docs/Internet/Bibli</w:t>
        </w:r>
        <w:r w:rsidRPr="00246F17">
          <w:rPr>
            <w:rStyle w:val="Hipervnculo"/>
            <w:rFonts w:ascii="Verdana" w:hAnsi="Verdana"/>
            <w:sz w:val="22"/>
            <w:szCs w:val="22"/>
          </w:rPr>
          <w:t>o</w:t>
        </w:r>
        <w:r w:rsidRPr="00246F17">
          <w:rPr>
            <w:rStyle w:val="Hipervnculo"/>
            <w:rFonts w:ascii="Verdana" w:hAnsi="Verdana"/>
            <w:sz w:val="22"/>
            <w:szCs w:val="22"/>
          </w:rPr>
          <w:t>teca_Virtual_DECEYEC/deceyec_DECEYEC/docs_estaticos/cuadernos_divulgacion/cuaderno25.pdf</w:t>
        </w:r>
      </w:hyperlink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Default="00F24495" w:rsidP="00F24495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Secretaría de la Función Pública (2012). Consultado el 23 de septiembre de 2014 de: </w:t>
      </w:r>
      <w:hyperlink r:id="rId23" w:history="1">
        <w:r w:rsidRPr="0075756D">
          <w:rPr>
            <w:rStyle w:val="Hipervnculo"/>
            <w:rFonts w:ascii="Verdana" w:hAnsi="Verdana"/>
            <w:sz w:val="22"/>
            <w:szCs w:val="22"/>
          </w:rPr>
          <w:t>http://www.anticorrupcion.g</w:t>
        </w:r>
        <w:r w:rsidRPr="0075756D">
          <w:rPr>
            <w:rStyle w:val="Hipervnculo"/>
            <w:rFonts w:ascii="Verdana" w:hAnsi="Verdana"/>
            <w:sz w:val="22"/>
            <w:szCs w:val="22"/>
          </w:rPr>
          <w:t>o</w:t>
        </w:r>
        <w:r w:rsidRPr="0075756D">
          <w:rPr>
            <w:rStyle w:val="Hipervnculo"/>
            <w:rFonts w:ascii="Verdana" w:hAnsi="Verdana"/>
            <w:sz w:val="22"/>
            <w:szCs w:val="22"/>
          </w:rPr>
          <w:t>b.mx/</w:t>
        </w:r>
      </w:hyperlink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F24495" w:rsidRPr="00246F17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  <w:r w:rsidRPr="00246F17">
        <w:rPr>
          <w:rFonts w:ascii="Verdana" w:hAnsi="Verdana"/>
          <w:color w:val="000000"/>
          <w:sz w:val="22"/>
          <w:szCs w:val="22"/>
        </w:rPr>
        <w:t xml:space="preserve">Solares, M. (2004). La Auditoría Superior de la Federación: antecedentes y perspectiva jurídica [Versión electrónica]. UNAM, Instituto de Investigaciones Jurídicas. </w:t>
      </w:r>
      <w:r w:rsidRPr="00246F17">
        <w:rPr>
          <w:rFonts w:ascii="Verdana" w:hAnsi="Verdana"/>
          <w:i/>
          <w:color w:val="000000"/>
          <w:sz w:val="22"/>
          <w:szCs w:val="22"/>
        </w:rPr>
        <w:t>Serie Doctrina Jurídica</w:t>
      </w:r>
      <w:r w:rsidRPr="00246F17">
        <w:rPr>
          <w:rFonts w:ascii="Verdana" w:hAnsi="Verdana"/>
          <w:color w:val="000000"/>
          <w:sz w:val="22"/>
          <w:szCs w:val="22"/>
        </w:rPr>
        <w:t xml:space="preserve">, 172. Consultado el 26 de julio de 2014 de: </w:t>
      </w:r>
      <w:hyperlink r:id="rId24" w:history="1">
        <w:r w:rsidRPr="00246F17">
          <w:rPr>
            <w:rStyle w:val="Hipervnculo"/>
            <w:rFonts w:ascii="Verdana" w:hAnsi="Verdana"/>
            <w:sz w:val="22"/>
            <w:szCs w:val="22"/>
          </w:rPr>
          <w:t>http://biblio.juridicas.unam.mx/li</w:t>
        </w:r>
        <w:r w:rsidRPr="00246F17">
          <w:rPr>
            <w:rStyle w:val="Hipervnculo"/>
            <w:rFonts w:ascii="Verdana" w:hAnsi="Verdana"/>
            <w:sz w:val="22"/>
            <w:szCs w:val="22"/>
          </w:rPr>
          <w:t>b</w:t>
        </w:r>
        <w:r w:rsidRPr="00246F17">
          <w:rPr>
            <w:rStyle w:val="Hipervnculo"/>
            <w:rFonts w:ascii="Verdana" w:hAnsi="Verdana"/>
            <w:sz w:val="22"/>
            <w:szCs w:val="22"/>
          </w:rPr>
          <w:t>ros/libro.htm?l=1327</w:t>
        </w:r>
      </w:hyperlink>
    </w:p>
    <w:p w:rsidR="00F24495" w:rsidRDefault="00F24495" w:rsidP="00F24495">
      <w:pPr>
        <w:jc w:val="both"/>
        <w:rPr>
          <w:rFonts w:ascii="Verdana" w:hAnsi="Verdana"/>
          <w:color w:val="000000"/>
          <w:sz w:val="22"/>
          <w:szCs w:val="22"/>
        </w:rPr>
      </w:pPr>
    </w:p>
    <w:p w:rsidR="00197717" w:rsidRPr="006B4969" w:rsidRDefault="00197717" w:rsidP="006B4969"/>
    <w:sectPr w:rsidR="00197717" w:rsidRPr="006B49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717" w:rsidRDefault="00197717" w:rsidP="00197717">
      <w:r>
        <w:separator/>
      </w:r>
    </w:p>
  </w:endnote>
  <w:endnote w:type="continuationSeparator" w:id="0">
    <w:p w:rsidR="00197717" w:rsidRDefault="00197717" w:rsidP="0019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717" w:rsidRDefault="00197717" w:rsidP="00197717">
      <w:r>
        <w:separator/>
      </w:r>
    </w:p>
  </w:footnote>
  <w:footnote w:type="continuationSeparator" w:id="0">
    <w:p w:rsidR="00197717" w:rsidRDefault="00197717" w:rsidP="00197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03914"/>
    <w:multiLevelType w:val="hybridMultilevel"/>
    <w:tmpl w:val="C532B60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2080F"/>
    <w:multiLevelType w:val="hybridMultilevel"/>
    <w:tmpl w:val="C69624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A2482"/>
    <w:multiLevelType w:val="hybridMultilevel"/>
    <w:tmpl w:val="81006A9E"/>
    <w:lvl w:ilvl="0" w:tplc="56B6D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9344D1"/>
    <w:multiLevelType w:val="hybridMultilevel"/>
    <w:tmpl w:val="82BC056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F67"/>
    <w:rsid w:val="00197717"/>
    <w:rsid w:val="00302C0F"/>
    <w:rsid w:val="003E4F67"/>
    <w:rsid w:val="006B4969"/>
    <w:rsid w:val="0095439C"/>
    <w:rsid w:val="009F289F"/>
    <w:rsid w:val="00D022C7"/>
    <w:rsid w:val="00E66520"/>
    <w:rsid w:val="00F2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F67"/>
    <w:pPr>
      <w:spacing w:after="0" w:line="240" w:lineRule="auto"/>
    </w:pPr>
    <w:rPr>
      <w:rFonts w:ascii="Arial" w:eastAsia="Times New Roman" w:hAnsi="Arial" w:cs="Arial"/>
      <w:bCs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3E4F67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kern w:val="36"/>
      <w:sz w:val="48"/>
      <w:szCs w:val="4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4F67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styleId="Refdecomentario">
    <w:name w:val="annotation reference"/>
    <w:uiPriority w:val="99"/>
    <w:unhideWhenUsed/>
    <w:rsid w:val="003E4F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E4F67"/>
    <w:rPr>
      <w:rFonts w:ascii="Times New Roman" w:hAnsi="Times New Roman" w:cs="Times New Roman"/>
      <w:bCs w:val="0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E4F6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rsid w:val="003E4F67"/>
    <w:rPr>
      <w:color w:val="0000FF"/>
      <w:u w:val="single"/>
    </w:rPr>
  </w:style>
  <w:style w:type="character" w:customStyle="1" w:styleId="watch-title">
    <w:name w:val="watch-title"/>
    <w:rsid w:val="003E4F67"/>
  </w:style>
  <w:style w:type="paragraph" w:styleId="Textodeglobo">
    <w:name w:val="Balloon Text"/>
    <w:basedOn w:val="Normal"/>
    <w:link w:val="TextodegloboCar"/>
    <w:uiPriority w:val="99"/>
    <w:semiHidden/>
    <w:unhideWhenUsed/>
    <w:rsid w:val="003E4F6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4F67"/>
    <w:rPr>
      <w:rFonts w:ascii="Tahoma" w:eastAsia="Times New Roman" w:hAnsi="Tahoma" w:cs="Tahoma"/>
      <w:bCs/>
      <w:sz w:val="16"/>
      <w:szCs w:val="1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197717"/>
    <w:rPr>
      <w:rFonts w:ascii="Times New Roman" w:hAnsi="Times New Roman" w:cs="Times New Roman"/>
    </w:rPr>
  </w:style>
  <w:style w:type="paragraph" w:styleId="Textonotapie">
    <w:name w:val="footnote text"/>
    <w:basedOn w:val="Normal"/>
    <w:link w:val="TextonotapieCar"/>
    <w:rsid w:val="0019771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197717"/>
    <w:rPr>
      <w:rFonts w:ascii="Arial" w:eastAsia="Times New Roman" w:hAnsi="Arial" w:cs="Arial"/>
      <w:bCs/>
      <w:sz w:val="20"/>
      <w:szCs w:val="20"/>
      <w:lang w:eastAsia="es-ES"/>
    </w:rPr>
  </w:style>
  <w:style w:type="character" w:styleId="Refdenotaalpie">
    <w:name w:val="footnote reference"/>
    <w:rsid w:val="00197717"/>
    <w:rPr>
      <w:vertAlign w:val="superscript"/>
    </w:rPr>
  </w:style>
  <w:style w:type="paragraph" w:styleId="Textonotaalfinal">
    <w:name w:val="endnote text"/>
    <w:basedOn w:val="Normal"/>
    <w:link w:val="TextonotaalfinalCar"/>
    <w:rsid w:val="00E6652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E66520"/>
    <w:rPr>
      <w:rFonts w:ascii="Arial" w:eastAsia="Times New Roman" w:hAnsi="Arial" w:cs="Arial"/>
      <w:bCs/>
      <w:sz w:val="20"/>
      <w:szCs w:val="20"/>
      <w:lang w:eastAsia="es-ES"/>
    </w:rPr>
  </w:style>
  <w:style w:type="character" w:styleId="Refdenotaalfinal">
    <w:name w:val="endnote reference"/>
    <w:rsid w:val="00E6652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F67"/>
    <w:pPr>
      <w:spacing w:after="0" w:line="240" w:lineRule="auto"/>
    </w:pPr>
    <w:rPr>
      <w:rFonts w:ascii="Arial" w:eastAsia="Times New Roman" w:hAnsi="Arial" w:cs="Arial"/>
      <w:bCs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3E4F67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kern w:val="36"/>
      <w:sz w:val="48"/>
      <w:szCs w:val="4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4F67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styleId="Refdecomentario">
    <w:name w:val="annotation reference"/>
    <w:uiPriority w:val="99"/>
    <w:unhideWhenUsed/>
    <w:rsid w:val="003E4F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E4F67"/>
    <w:rPr>
      <w:rFonts w:ascii="Times New Roman" w:hAnsi="Times New Roman" w:cs="Times New Roman"/>
      <w:bCs w:val="0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E4F6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rsid w:val="003E4F67"/>
    <w:rPr>
      <w:color w:val="0000FF"/>
      <w:u w:val="single"/>
    </w:rPr>
  </w:style>
  <w:style w:type="character" w:customStyle="1" w:styleId="watch-title">
    <w:name w:val="watch-title"/>
    <w:rsid w:val="003E4F67"/>
  </w:style>
  <w:style w:type="paragraph" w:styleId="Textodeglobo">
    <w:name w:val="Balloon Text"/>
    <w:basedOn w:val="Normal"/>
    <w:link w:val="TextodegloboCar"/>
    <w:uiPriority w:val="99"/>
    <w:semiHidden/>
    <w:unhideWhenUsed/>
    <w:rsid w:val="003E4F6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4F67"/>
    <w:rPr>
      <w:rFonts w:ascii="Tahoma" w:eastAsia="Times New Roman" w:hAnsi="Tahoma" w:cs="Tahoma"/>
      <w:bCs/>
      <w:sz w:val="16"/>
      <w:szCs w:val="1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197717"/>
    <w:rPr>
      <w:rFonts w:ascii="Times New Roman" w:hAnsi="Times New Roman" w:cs="Times New Roman"/>
    </w:rPr>
  </w:style>
  <w:style w:type="paragraph" w:styleId="Textonotapie">
    <w:name w:val="footnote text"/>
    <w:basedOn w:val="Normal"/>
    <w:link w:val="TextonotapieCar"/>
    <w:rsid w:val="0019771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197717"/>
    <w:rPr>
      <w:rFonts w:ascii="Arial" w:eastAsia="Times New Roman" w:hAnsi="Arial" w:cs="Arial"/>
      <w:bCs/>
      <w:sz w:val="20"/>
      <w:szCs w:val="20"/>
      <w:lang w:eastAsia="es-ES"/>
    </w:rPr>
  </w:style>
  <w:style w:type="character" w:styleId="Refdenotaalpie">
    <w:name w:val="footnote reference"/>
    <w:rsid w:val="00197717"/>
    <w:rPr>
      <w:vertAlign w:val="superscript"/>
    </w:rPr>
  </w:style>
  <w:style w:type="paragraph" w:styleId="Textonotaalfinal">
    <w:name w:val="endnote text"/>
    <w:basedOn w:val="Normal"/>
    <w:link w:val="TextonotaalfinalCar"/>
    <w:rsid w:val="00E66520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E66520"/>
    <w:rPr>
      <w:rFonts w:ascii="Arial" w:eastAsia="Times New Roman" w:hAnsi="Arial" w:cs="Arial"/>
      <w:bCs/>
      <w:sz w:val="20"/>
      <w:szCs w:val="20"/>
      <w:lang w:eastAsia="es-ES"/>
    </w:rPr>
  </w:style>
  <w:style w:type="character" w:styleId="Refdenotaalfinal">
    <w:name w:val="endnote reference"/>
    <w:rsid w:val="00E665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f.gob.mx/uploads/79_Gaceta_electronica/Gaceta01.pdf" TargetMode="External"/><Relationship Id="rId13" Type="http://schemas.openxmlformats.org/officeDocument/2006/relationships/hyperlink" Target="http://www.economiainstitucional.com/pdf/No18/ghodgson18.pdf" TargetMode="External"/><Relationship Id="rId18" Type="http://schemas.openxmlformats.org/officeDocument/2006/relationships/hyperlink" Target="http://www.unodc.org/pdf/9dec04/resourceguide_s.pdf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laprensa.mx/notas.asp?id=30024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2.scjn.gob.mx/Ministros/oscgv/Public/CULTURA%20DE%20LA%20LEGALIDAD.pdf" TargetMode="External"/><Relationship Id="rId17" Type="http://schemas.openxmlformats.org/officeDocument/2006/relationships/hyperlink" Target="http://www.unodc.org/documents/yournocounts/print/materials2011/leaflets/corr11_leaflet_ES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unodc.org/pdf/corruption/publications_unodc_convention-s.pdf" TargetMode="External"/><Relationship Id="rId20" Type="http://schemas.openxmlformats.org/officeDocument/2006/relationships/hyperlink" Target="http://www.unodc.org/documents/yournocounts/print/materials2011/call2action/corr11_call2action_A4_ES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iputados.gob.mx/LeyesBiblio/pdf/240_140714.pdf" TargetMode="External"/><Relationship Id="rId24" Type="http://schemas.openxmlformats.org/officeDocument/2006/relationships/hyperlink" Target="http://biblio.juridicas.unam.mx/libros/libro.htm?l=13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4.juridicas.unam.mx/ijure/fed/8/283.htm?s" TargetMode="External"/><Relationship Id="rId23" Type="http://schemas.openxmlformats.org/officeDocument/2006/relationships/hyperlink" Target="http://www.anticorrupcion.gob.mx/" TargetMode="External"/><Relationship Id="rId10" Type="http://schemas.openxmlformats.org/officeDocument/2006/relationships/hyperlink" Target="http://www.cadal.org/documentos/documento_26.pdf" TargetMode="External"/><Relationship Id="rId19" Type="http://schemas.openxmlformats.org/officeDocument/2006/relationships/hyperlink" Target="http://www.unodc.org/pdf/crime/convention_corruption/cosp/Ebook/V0653443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sf.gob.mx/uploads/61_Publicaciones_tecnicas/185_Aniv.pdf" TargetMode="External"/><Relationship Id="rId14" Type="http://schemas.openxmlformats.org/officeDocument/2006/relationships/hyperlink" Target="http://www.inegi.org.mx/est/contenidos/proyectos/encuestas/hogares/especiales/encig/2013/default.aspx" TargetMode="External"/><Relationship Id="rId22" Type="http://schemas.openxmlformats.org/officeDocument/2006/relationships/hyperlink" Target="http://www.ife.org.mx/docs/Internet/Biblioteca_Virtual_DECEYEC/deceyec_DECEYEC/docs_estaticos/cuadernos_divulgacion/cuaderno25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982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Yadira</dc:creator>
  <cp:lastModifiedBy>Yadira</cp:lastModifiedBy>
  <cp:revision>2</cp:revision>
  <dcterms:created xsi:type="dcterms:W3CDTF">2014-10-08T18:15:00Z</dcterms:created>
  <dcterms:modified xsi:type="dcterms:W3CDTF">2014-10-08T18:15:00Z</dcterms:modified>
</cp:coreProperties>
</file>